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3124A">
      <w:pPr>
        <w:pStyle w:val="2"/>
      </w:pPr>
      <w:r>
        <w:t xml:space="preserve">AN NINH CHÍNH TRỊ NỘI BỘ </w:t>
      </w:r>
    </w:p>
    <w:p w14:paraId="6D0AFB77">
      <w:pPr>
        <w:spacing w:before="120" w:after="120" w:line="400" w:lineRule="exact"/>
        <w:ind w:firstLine="709"/>
        <w:jc w:val="both"/>
        <w:rPr>
          <w:rFonts w:eastAsia="Arial" w:cs="Times New Roman"/>
          <w:spacing w:val="-4"/>
          <w:szCs w:val="28"/>
        </w:rPr>
      </w:pPr>
      <w:r>
        <w:rPr>
          <w:rFonts w:eastAsia="Arial" w:cs="Times New Roman"/>
          <w:spacing w:val="-4"/>
          <w:szCs w:val="28"/>
        </w:rPr>
        <w:t>một bộ phận quan trọng của an ninh quốc gia, là sự bảo đảm vai trò lãnh đạo của Đảng Cộng sản Việt Nam đối với toàn bộ hoạt động của đời sống chính trị - xã hội và sự trong sạch, phát triển vững mạnh của hệ thống chính trị xã hội chủ nghĩa. Sự bảo đảm vai trò lãnh đạo của Đảng Cộng sản Việt Nam thể hiện trước hết, quan trọng nhất là Cương lĩnh, Điều lệ Đảng được bảo vệ, giữ vững và tất cả các chủ trương, chính sách của Đảng phải được tổ chức nghiên cứu, quán triệt, học tập nghiêm chỉnh; được cụ thể hoá bằng hệ thống pháp luật, chương trình, kế hoạch và được bảo đảm tổ chức thực hiện toàn diện trên mọi mặt đời sống kinh tế, văn hoá, xã hội. Sự trong sạch, phát triển vững mạnh của hệ thống chính trị xã hội chủ nghĩa bao gồm sự trong sạch, an toàn, vững mạnh về chính trị, tư tưởng của bộ máy tổ chức, đội ngũ cán bộ; sự ổn định về tư tưởng, đoàn kết, thống nhất về lập trường, quan điểm chính trị trong mọi chủ trương, quyết sách; mọi dấu hiệu, biểu hiện suy thoái, “tự diễn biến”, “tự chuyển hóa” đều phải được phát hiện kịp thời, đấu tranh, ngăn chặn, đẩy lùi; phòng ngừa, ngăn chặn, đấu tranh có hiệu quả với hoạt động thâm nhập, tác động chuyển hóa từ bên ngoài của các thế lực thù địch và tội phạm.</w:t>
      </w:r>
    </w:p>
    <w:p w14:paraId="595DEAF5">
      <w:pPr>
        <w:spacing w:before="120" w:after="120" w:line="400" w:lineRule="exact"/>
        <w:ind w:firstLine="709"/>
        <w:jc w:val="both"/>
        <w:rPr>
          <w:rFonts w:eastAsia="Arial" w:cs="Times New Roman"/>
          <w:szCs w:val="28"/>
        </w:rPr>
      </w:pPr>
      <w:r>
        <w:rPr>
          <w:rFonts w:eastAsia="Arial" w:cs="Times New Roman"/>
          <w:szCs w:val="28"/>
        </w:rPr>
        <w:t xml:space="preserve">Bảo vệ ANCTNB là một bộ phận quan trọng, bảo vệ an ninh quốc gia </w:t>
      </w:r>
      <w:r>
        <w:rPr>
          <w:rFonts w:eastAsia="Arial" w:cs="Times New Roman"/>
          <w:color w:val="FF0000"/>
          <w:szCs w:val="28"/>
        </w:rPr>
        <w:t>bao gồm các biện pháp nhằm phòng ngừa, phát hiện, giải quyết việc, hiện tượng, hành vi xâm phạm, gây thiệt hại hoặc đe dọa gây thiệt hại với nền tảng tư tưởng, mục đích, lý tưởng, uy tín chính trị của Đảng, các nguyên tắc tổ chức và hoạt động của Đảng,</w:t>
      </w:r>
      <w:r>
        <w:rPr>
          <w:rFonts w:eastAsia="Arial" w:cs="Times New Roman"/>
          <w:szCs w:val="28"/>
        </w:rPr>
        <w:t xml:space="preserve"> bảo đảm vai trò lãnh đạo tuyệt đối, toàn diện về mọi mặt của Đảng và sự ổn định, trong sạch, phát triển vững mạnh của cả hệ thống chính trị xã hội chủ nghĩa. Bảo vệ ANCTNB giữ vai trò quan trọng trong công tác xây dựng Đảng, bảo đảm đến sự sống còn của Đảng, sự tồn vong của chế độ, sự vững mạnh của chính quyền, hệ thống chính trị xã hội các cấp. Nghị quyết Đại hội đại biểu toàn quốc lần thứ XII của Đảng khẳng định “Nhiệm vụ trọng tâm của công tác bảo vệ chính trị nội bộ trong giai đoạn hiện nay là bảo vệ Cương lĩnh, Điều lệ Đảng; bảo vệ nguyên tắc tổ chức và hoạt động của Đảng; bảo vệ Hiến pháp, pháp luật; bảo vệ cán bộ, đảng viên về mặt chính trị” và đến Đại hội đại biểu toàn quốc lần thứ XIII</w:t>
      </w:r>
      <w:r>
        <w:rPr>
          <w:rFonts w:eastAsia="Arial" w:cs="Times New Roman"/>
          <w:szCs w:val="28"/>
          <w:lang w:val="vi-VN"/>
        </w:rPr>
        <w:t>,</w:t>
      </w:r>
      <w:r>
        <w:rPr>
          <w:rFonts w:eastAsia="Arial" w:cs="Times New Roman"/>
          <w:szCs w:val="28"/>
        </w:rPr>
        <w:t xml:space="preserve"> Đảng tiếp tục khẳng định lại, xác định rõ phương hướng trọng tâm của công tác bảo vệ ANCTNB thời gian tới “Bảo vệ Cương lĩnh, Điều lệ Đảng, đường lối, chủ trương, nguyên tắc tổ chức và hoạt động của Đảng, bảo vệ Hiến pháp và pháp luật, bảo vệ cán bộ, đảng viên về mặt chính trị; bảo vệ khối đại đoàn kết dân tộc. Kiên quyết đấu tranh, xử lý nghiêm những cán bộ có động cơ sai trái, tư tưởng cục bộ, bè phái, lợi ích nhóm, lợi dụng các phương tiện truyền thông đại chúng, internet, mạng xã hội... để xuyên tạc, kích động, gây mất đoàn kết nội bộ”. Bảo vệ ANCTNB là trách nhiệm của hệ thống chính trị, trước hết là cấp uỷ, tổ chức đảng, người đứng đầu và đảng viên. Các chủ thể phải chủ động học tập, nghiên cứu, nắm vững các chủ trương, chính sách của Đảng, nâng cao nhận thức của từng cá nhân về ý nghĩa, tầm quan trọng của công tác bảo vệ ANCTNB; rèn luyện phẩm chất chính trị, đạo đức, kỷ luật, không có biểu hiện biểu hiện, dấu hiệu suy thoái, “tự diễn biến”, “tự chuyển hoá”; cảnh giác, không bị thâm nhập, tác động, lôi kéo, tham gia vào các âm mưu, thủ đoạn phá hoại của các thế lực thù địch, phản động. Trong ngành Công an, bảo vệ ANCTNB là trách nhiệm của toàn thể cán bộ, chiến sỹ, trong đó nòng cốt, trực tiếp là lực lượng An ninh nhân dân. Lực lượng An ninh nhân dân với chức năng, nhiệm vụ được giao, chủ trì và phối hợp với các lực lượng trong và ngoài ngành tiến hành các biện pháp được pháp luật cho phép để phòng ngừa, phát hiện, đấu tranh chống âm mưu, hoạt động thâm nhập nội gián, phá hoại nội bộ, tác động chuyển hoá nội bộ từ bên trong của các thế lực thù địch, phản động và tội phạm, các hành vi vi phạm pháp luật xâm hại, đe doạ xâm hại ANCTNB; phòng, chống suy thoái, “tự diễn biến” trong nội bộ, góp phần bảo vệ vai trò lãnh đạo của Đảng, hiệu lực quản lý của Nhà nước, bảo vệ đội ngũ cán bộ, đảng viên, bảo vệ sự vững mạnh của hệ thống chính trị xã hội chủ nghĩa. Trong bảo vệ ANCTNB, lực lượng An ninh nhân dân phải luôn quán triệt và thực hiện đúng hai nguyên tắc, quan điểm chỉ đạo xuyên suốt là: 1. Kết hợp chặt chẽ giữa chủ động phòng ngừa với chủ động tấn công, trong đó lấy phòng ngừa, giữ vững bên trong là chính. 2. Bảo vệ ANCTNB phải phục vụ có hiệu quả các yêu cầu chính trị, đối ngoại và nhiệm vụ phát triển kinh tế của đất nước. Cơ sở chính trị, pháp lý để các chủ thể tiến hành các biện pháp bảo vệ ANCTNB được quy định ở rất nhiều văn bản, ở các cấp độ khác nhau, như: 1. Các văn bản của Đảng: Chỉ thị số 39-CT/TW ngày 18.8.2014 của Bộ Chính trị về Tăng cường công tác bảo vệ chính trị nội bộ trong tình hình hiện nay; </w:t>
      </w:r>
      <w:r>
        <w:rPr>
          <w:rFonts w:eastAsia="Arial" w:cs="Times New Roman"/>
        </w:rPr>
        <w:t>Nghị quyết Hội nghị lần thứ 4 Ban Chấp hành Trung ương Đảng khoá XI (Nghị quyết số 12-NQ/TW ngày 16.01.2012) về Một số vấn đề cấp bách về xây dựng Đảng hiện nay</w:t>
      </w:r>
      <w:r>
        <w:rPr>
          <w:rFonts w:eastAsia="Arial" w:cs="Times New Roman"/>
          <w:szCs w:val="28"/>
        </w:rPr>
        <w:t xml:space="preserve">; </w:t>
      </w:r>
      <w:r>
        <w:rPr>
          <w:rFonts w:eastAsia="Arial" w:cs="Times New Roman"/>
        </w:rPr>
        <w:t>Nghị quyết Hội nghị lần thứ 4 Ban Chấp hành Trung ương Đảng khoá XII (Nghị quyết số 04-NQ/TW ngày 30.10.2016)</w:t>
      </w:r>
      <w:r>
        <w:rPr>
          <w:rFonts w:eastAsia="Arial" w:cs="Times New Roman"/>
          <w:szCs w:val="28"/>
        </w:rPr>
        <w:t xml:space="preserve"> về Tăng cường xây dựng, chỉnh đốn Đảng; ngăn chặn, đẩy lùi sự suy thoái về tư tưởng chính trị, đạo đức, lối sống, những biểu hiện “tự diễn biến”, “tự chuyển hoá” trong nội bộ... 2. Hiến pháp và các bộ luật, luật của Nhà nước Cộng hoà xã hội chủ nghĩa Việt Nam như Bộ luật Hình sự năm 2015 (sửa đổi, bổ sung năm 2017), Bộ luật Tố tụng hình sự năm 2015, Luật An ninh quốc gia năm 2004, Luật Công an nhân dân năm 2014, Luật Công an nhân dân năm 2018...</w:t>
      </w:r>
    </w:p>
    <w:p w14:paraId="030B940C">
      <w:pPr>
        <w:spacing w:before="120" w:after="120" w:line="400" w:lineRule="exact"/>
        <w:ind w:firstLine="709"/>
        <w:jc w:val="both"/>
        <w:rPr>
          <w:rFonts w:eastAsia="Arial" w:cs="Times New Roman"/>
          <w:spacing w:val="-4"/>
          <w:szCs w:val="28"/>
        </w:rPr>
      </w:pPr>
      <w:r>
        <w:rPr>
          <w:rFonts w:eastAsia="Arial" w:cs="Times New Roman"/>
          <w:spacing w:val="-4"/>
          <w:szCs w:val="28"/>
        </w:rPr>
        <w:t>Phân loại ANCTNB có thể căn cứ vào các yếu tố cấu thành chính trị nội bộ và đối tượng bảo vệ ANCTNB để phân thành: an ninh các văn kiện, đường lối, chủ trương, nguyên tắc của Đảng; an ninh tổ chức cơ sở Đảng, cơ quan nhà nước và an ninh đảng viên, cán bộ. An ninh các văn kiện, đường lối, chủ trương, nguyên tắc của Đảng là sự bảo đảm an toàn cho các văn bản, văn kiện của Đảng và việc tổ chức nghiên cứu, quán triệt, học tập, triển khai thực hiện trên mọi mặt đời sống kinh tế, văn hoá, xã hội; An ninh tổ chức cơ sở Đảng, cơ quan nhà nước là sự bảo đảm an toàn, trong sạch, vững mạnh về chính trị, tư tưởng, tổ chức bộ máy của cơ sở Đảng, cơ quan nhà nước; An ninh đảng viên, cán bộ là sự bảo đảm an toàn, trong sạch, vững mạnh về chính trị, tư tưởng của đảng viên, cán bộ.</w:t>
      </w:r>
    </w:p>
    <w:p w14:paraId="6E3B3812">
      <w:pPr>
        <w:spacing w:before="120" w:after="120" w:line="400" w:lineRule="exact"/>
        <w:ind w:firstLine="709"/>
        <w:jc w:val="right"/>
        <w:rPr>
          <w:rFonts w:eastAsia="Arial" w:cs="Times New Roman"/>
          <w:b/>
          <w:sz w:val="24"/>
          <w:szCs w:val="24"/>
        </w:rPr>
      </w:pPr>
      <w:r>
        <w:rPr>
          <w:rFonts w:eastAsia="Arial" w:cs="Times New Roman"/>
          <w:b/>
          <w:sz w:val="24"/>
          <w:szCs w:val="24"/>
        </w:rPr>
        <w:t>NGUYỄN HỒNG SƠN</w:t>
      </w:r>
    </w:p>
    <w:p w14:paraId="70E2EEB8">
      <w:pPr>
        <w:pStyle w:val="3"/>
      </w:pPr>
      <w:bookmarkStart w:id="0" w:name="_Toc92793451"/>
      <w:r>
        <w:t>Tài liệu tham khảo</w:t>
      </w:r>
      <w:bookmarkEnd w:id="0"/>
    </w:p>
    <w:p w14:paraId="4CECF411">
      <w:pPr>
        <w:numPr>
          <w:ilvl w:val="0"/>
          <w:numId w:val="1"/>
        </w:numPr>
        <w:tabs>
          <w:tab w:val="left" w:pos="1260"/>
        </w:tabs>
        <w:spacing w:before="60" w:after="60" w:line="400" w:lineRule="exact"/>
        <w:ind w:left="0" w:firstLine="902"/>
        <w:jc w:val="both"/>
        <w:rPr>
          <w:rFonts w:eastAsia="Times New Roman" w:cs="Times New Roman"/>
          <w:b/>
          <w:bCs/>
          <w:iCs/>
          <w:spacing w:val="-6"/>
          <w:sz w:val="24"/>
          <w:szCs w:val="24"/>
        </w:rPr>
      </w:pPr>
      <w:r>
        <w:rPr>
          <w:rFonts w:eastAsia="Times New Roman" w:cs="Times New Roman"/>
          <w:bCs/>
          <w:iCs/>
          <w:spacing w:val="-6"/>
          <w:sz w:val="24"/>
          <w:szCs w:val="24"/>
        </w:rPr>
        <w:t xml:space="preserve">Bộ Chính trị, </w:t>
      </w:r>
      <w:r>
        <w:rPr>
          <w:rFonts w:eastAsia="Times New Roman" w:cs="Times New Roman"/>
          <w:bCs/>
          <w:i/>
          <w:iCs/>
          <w:spacing w:val="-6"/>
          <w:sz w:val="24"/>
          <w:szCs w:val="24"/>
        </w:rPr>
        <w:t>Chỉ thị số 15-CT/TW ngày 07.7.2007 về sự lãnh đạo của Đảng đối với các cơ quan bảo vệ pháp luật trong công tác điều tra, xử lý các vụ án và công tác bảo vệ Đảng.</w:t>
      </w:r>
    </w:p>
    <w:p w14:paraId="395C0751">
      <w:pPr>
        <w:numPr>
          <w:ilvl w:val="0"/>
          <w:numId w:val="1"/>
        </w:numPr>
        <w:tabs>
          <w:tab w:val="left" w:pos="1260"/>
        </w:tabs>
        <w:spacing w:before="60" w:after="60" w:line="400" w:lineRule="exact"/>
        <w:ind w:left="0" w:firstLine="902"/>
        <w:jc w:val="both"/>
        <w:rPr>
          <w:rFonts w:eastAsia="Times New Roman" w:cs="Times New Roman"/>
          <w:b/>
          <w:bCs/>
          <w:iCs/>
          <w:sz w:val="24"/>
          <w:szCs w:val="24"/>
        </w:rPr>
      </w:pPr>
      <w:r>
        <w:rPr>
          <w:rFonts w:eastAsia="Times New Roman" w:cs="Times New Roman"/>
          <w:bCs/>
          <w:iCs/>
          <w:sz w:val="24"/>
          <w:szCs w:val="24"/>
        </w:rPr>
        <w:t xml:space="preserve">Bộ Chính trị, </w:t>
      </w:r>
      <w:r>
        <w:rPr>
          <w:rFonts w:eastAsia="Times New Roman" w:cs="Times New Roman"/>
          <w:bCs/>
          <w:i/>
          <w:iCs/>
          <w:sz w:val="24"/>
          <w:szCs w:val="24"/>
        </w:rPr>
        <w:t>Chỉ thị số 26-CT/TW ngày 09.11.2018 về tăng cường sự lãnh đạo của Đảng đối với cơ quan bảo vệ pháp luật trong công tác điều tra, xử lý các vụ án, vụ việc.</w:t>
      </w:r>
    </w:p>
    <w:p w14:paraId="1A9191C9">
      <w:pPr>
        <w:numPr>
          <w:ilvl w:val="0"/>
          <w:numId w:val="1"/>
        </w:numPr>
        <w:tabs>
          <w:tab w:val="left" w:pos="1260"/>
        </w:tabs>
        <w:spacing w:before="60" w:after="60" w:line="400" w:lineRule="exact"/>
        <w:ind w:left="0" w:firstLine="902"/>
        <w:jc w:val="both"/>
        <w:rPr>
          <w:rFonts w:eastAsia="Times New Roman" w:cs="Times New Roman"/>
          <w:b/>
          <w:bCs/>
          <w:iCs/>
          <w:sz w:val="24"/>
          <w:szCs w:val="24"/>
        </w:rPr>
      </w:pPr>
      <w:r>
        <w:rPr>
          <w:rFonts w:eastAsia="Arial" w:cs="Times New Roman"/>
          <w:sz w:val="24"/>
          <w:szCs w:val="24"/>
        </w:rPr>
        <w:t xml:space="preserve">Bộ Chính trị, </w:t>
      </w:r>
      <w:r>
        <w:rPr>
          <w:rFonts w:eastAsia="Arial" w:cs="Times New Roman"/>
          <w:i/>
          <w:sz w:val="24"/>
          <w:szCs w:val="24"/>
        </w:rPr>
        <w:t>Chỉ thị số 39-CT/TW ngày 18.8.2014 về tăng cường công tác bảo vệ chính trị nội bộ trong tình hình hiện nay.</w:t>
      </w:r>
    </w:p>
    <w:p w14:paraId="5D9279F3">
      <w:pPr>
        <w:numPr>
          <w:ilvl w:val="0"/>
          <w:numId w:val="1"/>
        </w:numPr>
        <w:tabs>
          <w:tab w:val="left" w:pos="1260"/>
        </w:tabs>
        <w:spacing w:before="60" w:after="60" w:line="400" w:lineRule="exact"/>
        <w:ind w:left="0" w:firstLine="902"/>
        <w:jc w:val="both"/>
        <w:rPr>
          <w:rFonts w:eastAsia="Times New Roman" w:cs="Times New Roman"/>
          <w:b/>
          <w:bCs/>
          <w:iCs/>
          <w:sz w:val="24"/>
          <w:szCs w:val="24"/>
        </w:rPr>
      </w:pPr>
      <w:r>
        <w:rPr>
          <w:rFonts w:eastAsia="Arial" w:cs="Times New Roman"/>
          <w:sz w:val="24"/>
          <w:szCs w:val="24"/>
        </w:rPr>
        <w:t>Bộ Chính trị,</w:t>
      </w:r>
      <w:r>
        <w:rPr>
          <w:rFonts w:eastAsia="Arial" w:cs="Times New Roman"/>
          <w:i/>
          <w:sz w:val="24"/>
          <w:szCs w:val="24"/>
        </w:rPr>
        <w:t xml:space="preserve"> Quy định số 126-QĐ/TW ngày 28.2.2018 về Một số vấn đề bảo vệ chính trị nội bộ Đảng.</w:t>
      </w:r>
    </w:p>
    <w:p w14:paraId="575D4661">
      <w:pPr>
        <w:numPr>
          <w:ilvl w:val="0"/>
          <w:numId w:val="1"/>
        </w:numPr>
        <w:tabs>
          <w:tab w:val="left" w:pos="1260"/>
        </w:tabs>
        <w:spacing w:before="60" w:after="60" w:line="400" w:lineRule="exact"/>
        <w:ind w:left="0" w:firstLine="902"/>
        <w:jc w:val="both"/>
        <w:rPr>
          <w:rFonts w:eastAsia="Times New Roman" w:cs="Times New Roman"/>
          <w:b/>
          <w:bCs/>
          <w:iCs/>
          <w:sz w:val="24"/>
          <w:szCs w:val="24"/>
        </w:rPr>
      </w:pPr>
      <w:r>
        <w:rPr>
          <w:rFonts w:eastAsia="Arial" w:cs="Times New Roman"/>
          <w:sz w:val="24"/>
          <w:szCs w:val="24"/>
        </w:rPr>
        <w:t>Bộ Chính trị,</w:t>
      </w:r>
      <w:r>
        <w:rPr>
          <w:rFonts w:eastAsia="Arial" w:cs="Times New Roman"/>
          <w:i/>
          <w:sz w:val="24"/>
          <w:szCs w:val="24"/>
        </w:rPr>
        <w:t xml:space="preserve"> Quy định số 58-QĐ/TW ngày 08.2.2022 về Một số vấn đề bảo vệ chính trị nội bộ Đảng.</w:t>
      </w:r>
    </w:p>
    <w:p w14:paraId="3061CEAE">
      <w:pPr>
        <w:numPr>
          <w:ilvl w:val="0"/>
          <w:numId w:val="1"/>
        </w:numPr>
        <w:tabs>
          <w:tab w:val="left" w:pos="1260"/>
        </w:tabs>
        <w:spacing w:before="60" w:after="60" w:line="400" w:lineRule="exact"/>
        <w:ind w:left="0" w:firstLine="902"/>
        <w:jc w:val="both"/>
        <w:rPr>
          <w:rFonts w:eastAsia="Times New Roman" w:cs="Times New Roman"/>
          <w:b/>
          <w:bCs/>
          <w:i/>
          <w:iCs/>
          <w:sz w:val="24"/>
          <w:szCs w:val="24"/>
        </w:rPr>
      </w:pPr>
      <w:r>
        <w:rPr>
          <w:rFonts w:eastAsia="Arial" w:cs="Times New Roman"/>
          <w:i/>
          <w:sz w:val="24"/>
          <w:szCs w:val="24"/>
        </w:rPr>
        <w:t>Nghị quyết Hội nghị lần thứ 4 Ban Chấp hành Trung ương Đảng khoá XI (Nghị quyết số 12-NQ/TW ngày 16.01.2012) về Một số vấn đề cấp bách về xây dựng Đảng hiện nay.</w:t>
      </w:r>
    </w:p>
    <w:p w14:paraId="3342C214">
      <w:pPr>
        <w:numPr>
          <w:ilvl w:val="0"/>
          <w:numId w:val="1"/>
        </w:numPr>
        <w:tabs>
          <w:tab w:val="left" w:pos="1260"/>
        </w:tabs>
        <w:spacing w:before="60" w:after="60" w:line="400" w:lineRule="exact"/>
        <w:ind w:left="0" w:firstLine="902"/>
        <w:jc w:val="both"/>
        <w:rPr>
          <w:rFonts w:eastAsia="Times New Roman" w:cs="Times New Roman"/>
          <w:b/>
          <w:bCs/>
          <w:i/>
          <w:iCs/>
          <w:sz w:val="24"/>
          <w:szCs w:val="24"/>
        </w:rPr>
      </w:pPr>
      <w:r>
        <w:rPr>
          <w:rFonts w:eastAsia="Arial" w:cs="Times New Roman"/>
          <w:i/>
          <w:sz w:val="24"/>
          <w:szCs w:val="24"/>
        </w:rPr>
        <w:t>Nghị quyết Hội nghị lần thứ 4 Ban Chấp hành Trung ương Đảng khoá XII (Nghị quyết số 04-NQ/TW ngày 30.10.2016) về Tăng cường xây dựng, chỉnh đốn Đảng; ngăn chặn, đẩy lùi sự suy thoái về tư tưởng chính trị, đạo đức, lối sống, những biểu hiện “tự diễn biến”, “tự chuyển hoá” trong nội bộ.</w:t>
      </w:r>
    </w:p>
    <w:p w14:paraId="231C3D14">
      <w:pPr>
        <w:numPr>
          <w:ilvl w:val="0"/>
          <w:numId w:val="1"/>
        </w:numPr>
        <w:tabs>
          <w:tab w:val="left" w:pos="1260"/>
        </w:tabs>
        <w:spacing w:before="60" w:after="60" w:line="400" w:lineRule="exact"/>
        <w:ind w:left="0" w:firstLine="902"/>
        <w:jc w:val="both"/>
        <w:rPr>
          <w:rFonts w:eastAsia="Times New Roman" w:cs="Times New Roman"/>
          <w:iCs/>
          <w:spacing w:val="-6"/>
          <w:sz w:val="24"/>
          <w:szCs w:val="24"/>
        </w:rPr>
      </w:pPr>
      <w:r>
        <w:rPr>
          <w:rFonts w:eastAsia="Times New Roman" w:cs="Times New Roman"/>
          <w:bCs/>
          <w:iCs/>
          <w:sz w:val="24"/>
          <w:szCs w:val="24"/>
        </w:rPr>
        <w:t xml:space="preserve">Quốc hội, </w:t>
      </w:r>
      <w:r>
        <w:rPr>
          <w:rFonts w:eastAsia="Times New Roman" w:cs="Times New Roman"/>
          <w:i/>
          <w:iCs/>
          <w:spacing w:val="-6"/>
          <w:sz w:val="24"/>
          <w:szCs w:val="24"/>
        </w:rPr>
        <w:t>Bộ luật Hình sự năm</w:t>
      </w:r>
      <w:r>
        <w:rPr>
          <w:rFonts w:eastAsia="Times New Roman" w:cs="Times New Roman"/>
          <w:iCs/>
          <w:spacing w:val="-6"/>
          <w:sz w:val="24"/>
          <w:szCs w:val="24"/>
        </w:rPr>
        <w:t xml:space="preserve"> </w:t>
      </w:r>
      <w:r>
        <w:rPr>
          <w:rFonts w:eastAsia="Times New Roman" w:cs="Times New Roman"/>
          <w:i/>
          <w:iCs/>
          <w:spacing w:val="-6"/>
          <w:sz w:val="24"/>
          <w:szCs w:val="24"/>
        </w:rPr>
        <w:t>2015 (sửa đổi, bổ sung năm 2017).</w:t>
      </w:r>
    </w:p>
    <w:p w14:paraId="0D5FEA81">
      <w:pPr>
        <w:numPr>
          <w:ilvl w:val="0"/>
          <w:numId w:val="1"/>
        </w:numPr>
        <w:tabs>
          <w:tab w:val="left" w:pos="1260"/>
        </w:tabs>
        <w:spacing w:before="60" w:after="60" w:line="400" w:lineRule="exact"/>
        <w:ind w:left="0" w:firstLine="902"/>
        <w:jc w:val="both"/>
        <w:rPr>
          <w:rFonts w:eastAsia="Times New Roman" w:cs="Times New Roman"/>
          <w:b/>
          <w:bCs/>
          <w:i/>
          <w:iCs/>
          <w:color w:val="000000"/>
          <w:sz w:val="24"/>
          <w:szCs w:val="24"/>
        </w:rPr>
      </w:pPr>
      <w:r>
        <w:rPr>
          <w:rFonts w:eastAsia="Times New Roman" w:cs="Times New Roman"/>
          <w:iCs/>
          <w:color w:val="000000"/>
          <w:sz w:val="24"/>
          <w:szCs w:val="24"/>
        </w:rPr>
        <w:t>Quốc hội,</w:t>
      </w:r>
      <w:r>
        <w:rPr>
          <w:rFonts w:eastAsia="Times New Roman" w:cs="Times New Roman"/>
          <w:i/>
          <w:iCs/>
          <w:color w:val="000000"/>
          <w:sz w:val="24"/>
          <w:szCs w:val="24"/>
        </w:rPr>
        <w:t xml:space="preserve"> Bộ luật Tố tụng hình sự năm 2015.</w:t>
      </w:r>
    </w:p>
    <w:p w14:paraId="33B42038">
      <w:pPr>
        <w:numPr>
          <w:ilvl w:val="0"/>
          <w:numId w:val="1"/>
        </w:numPr>
        <w:tabs>
          <w:tab w:val="left" w:pos="1260"/>
        </w:tabs>
        <w:spacing w:before="60" w:after="60" w:line="400" w:lineRule="exact"/>
        <w:ind w:left="0" w:firstLine="902"/>
        <w:jc w:val="both"/>
        <w:rPr>
          <w:rFonts w:eastAsia="Times New Roman" w:cs="Times New Roman"/>
          <w:b/>
          <w:bCs/>
          <w:iCs/>
          <w:sz w:val="24"/>
          <w:szCs w:val="24"/>
        </w:rPr>
      </w:pPr>
      <w:r>
        <w:rPr>
          <w:rFonts w:eastAsia="Times New Roman" w:cs="Times New Roman"/>
          <w:bCs/>
          <w:iCs/>
          <w:sz w:val="24"/>
          <w:szCs w:val="24"/>
        </w:rPr>
        <w:t xml:space="preserve">Quốc hội, </w:t>
      </w:r>
      <w:r>
        <w:rPr>
          <w:rFonts w:eastAsia="Times New Roman" w:cs="Times New Roman"/>
          <w:bCs/>
          <w:i/>
          <w:iCs/>
          <w:sz w:val="24"/>
          <w:szCs w:val="24"/>
        </w:rPr>
        <w:t>Hiến pháp năm 2013.</w:t>
      </w:r>
    </w:p>
    <w:p w14:paraId="2044D784">
      <w:pPr>
        <w:numPr>
          <w:ilvl w:val="0"/>
          <w:numId w:val="1"/>
        </w:numPr>
        <w:tabs>
          <w:tab w:val="left" w:pos="1260"/>
        </w:tabs>
        <w:spacing w:before="60" w:after="60" w:line="400" w:lineRule="exact"/>
        <w:ind w:left="0" w:firstLine="902"/>
        <w:jc w:val="both"/>
        <w:rPr>
          <w:rFonts w:eastAsia="Times New Roman" w:cs="Times New Roman"/>
          <w:iCs/>
          <w:color w:val="000000"/>
          <w:sz w:val="24"/>
          <w:szCs w:val="24"/>
        </w:rPr>
      </w:pPr>
      <w:r>
        <w:rPr>
          <w:rFonts w:eastAsia="Times New Roman" w:cs="Times New Roman"/>
          <w:iCs/>
          <w:color w:val="000000"/>
          <w:sz w:val="24"/>
          <w:szCs w:val="24"/>
        </w:rPr>
        <w:t>Quốc hội,</w:t>
      </w:r>
      <w:r>
        <w:rPr>
          <w:rFonts w:eastAsia="Times New Roman" w:cs="Times New Roman"/>
          <w:i/>
          <w:iCs/>
          <w:color w:val="000000"/>
          <w:sz w:val="24"/>
          <w:szCs w:val="24"/>
        </w:rPr>
        <w:t xml:space="preserve"> </w:t>
      </w:r>
      <w:r>
        <w:rPr>
          <w:rFonts w:eastAsia="Arial" w:cs="Times New Roman"/>
          <w:i/>
          <w:color w:val="000000"/>
          <w:sz w:val="24"/>
          <w:szCs w:val="24"/>
        </w:rPr>
        <w:t>Luật An ninh quốc gia năm 2004</w:t>
      </w:r>
      <w:r>
        <w:rPr>
          <w:rFonts w:eastAsia="Times New Roman" w:cs="Times New Roman"/>
          <w:i/>
          <w:iCs/>
          <w:color w:val="000000"/>
          <w:sz w:val="24"/>
          <w:szCs w:val="24"/>
        </w:rPr>
        <w:t>.</w:t>
      </w:r>
    </w:p>
    <w:p w14:paraId="0C0CAE42">
      <w:pPr>
        <w:numPr>
          <w:ilvl w:val="0"/>
          <w:numId w:val="1"/>
        </w:numPr>
        <w:tabs>
          <w:tab w:val="left" w:pos="1260"/>
        </w:tabs>
        <w:spacing w:before="60" w:after="60" w:line="400" w:lineRule="exact"/>
        <w:ind w:left="0" w:firstLine="902"/>
        <w:jc w:val="both"/>
        <w:rPr>
          <w:rFonts w:eastAsia="Times New Roman" w:cs="Times New Roman"/>
          <w:iCs/>
          <w:color w:val="000000"/>
          <w:sz w:val="24"/>
          <w:szCs w:val="24"/>
        </w:rPr>
      </w:pPr>
      <w:r>
        <w:rPr>
          <w:rFonts w:eastAsia="Times New Roman" w:cs="Times New Roman"/>
          <w:iCs/>
          <w:color w:val="000000"/>
          <w:sz w:val="24"/>
          <w:szCs w:val="24"/>
        </w:rPr>
        <w:t>Quốc hội,</w:t>
      </w:r>
      <w:r>
        <w:rPr>
          <w:rFonts w:eastAsia="Times New Roman" w:cs="Times New Roman"/>
          <w:i/>
          <w:iCs/>
          <w:color w:val="000000"/>
          <w:sz w:val="24"/>
          <w:szCs w:val="24"/>
        </w:rPr>
        <w:t xml:space="preserve"> </w:t>
      </w:r>
      <w:r>
        <w:rPr>
          <w:rFonts w:eastAsia="Arial" w:cs="Times New Roman"/>
          <w:i/>
          <w:color w:val="000000"/>
          <w:sz w:val="24"/>
          <w:szCs w:val="24"/>
        </w:rPr>
        <w:t>Luật Công an nhân dân năm 2014</w:t>
      </w:r>
      <w:r>
        <w:rPr>
          <w:rFonts w:eastAsia="Times New Roman" w:cs="Times New Roman"/>
          <w:i/>
          <w:iCs/>
          <w:color w:val="000000"/>
          <w:sz w:val="24"/>
          <w:szCs w:val="24"/>
        </w:rPr>
        <w:t>.</w:t>
      </w:r>
    </w:p>
    <w:p w14:paraId="5D85E281">
      <w:pPr>
        <w:numPr>
          <w:ilvl w:val="0"/>
          <w:numId w:val="1"/>
        </w:numPr>
        <w:tabs>
          <w:tab w:val="left" w:pos="1260"/>
        </w:tabs>
        <w:spacing w:before="60" w:after="60" w:line="400" w:lineRule="exact"/>
        <w:ind w:left="0" w:firstLine="902"/>
        <w:jc w:val="both"/>
        <w:rPr>
          <w:rFonts w:eastAsia="Times New Roman" w:cs="Times New Roman"/>
          <w:iCs/>
          <w:color w:val="000000"/>
          <w:sz w:val="24"/>
          <w:szCs w:val="24"/>
        </w:rPr>
      </w:pPr>
      <w:r>
        <w:rPr>
          <w:rFonts w:eastAsia="Times New Roman" w:cs="Times New Roman"/>
          <w:iCs/>
          <w:color w:val="000000"/>
          <w:sz w:val="24"/>
          <w:szCs w:val="24"/>
        </w:rPr>
        <w:t>Quốc hội,</w:t>
      </w:r>
      <w:r>
        <w:rPr>
          <w:rFonts w:eastAsia="Times New Roman" w:cs="Times New Roman"/>
          <w:i/>
          <w:iCs/>
          <w:color w:val="000000"/>
          <w:sz w:val="24"/>
          <w:szCs w:val="24"/>
        </w:rPr>
        <w:t xml:space="preserve"> Luật Công an nhân dân năm 2018.</w:t>
      </w:r>
    </w:p>
    <w:p w14:paraId="7F840EBC">
      <w:bookmarkStart w:id="1" w:name="_GoBack"/>
      <w:bookmarkEnd w:id="1"/>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B058D"/>
    <w:multiLevelType w:val="multilevel"/>
    <w:tmpl w:val="72DB058D"/>
    <w:lvl w:ilvl="0" w:tentative="0">
      <w:start w:val="1"/>
      <w:numFmt w:val="decimal"/>
      <w:lvlText w:val="%1."/>
      <w:lvlJc w:val="left"/>
      <w:pPr>
        <w:ind w:left="1080" w:hanging="360"/>
      </w:pPr>
      <w:rPr>
        <w:rFonts w:hint="default" w:eastAsia="Times New Roman"/>
        <w:b w:val="0"/>
        <w:i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46BF5B9A"/>
    <w:rsid w:val="4BFF7C1D"/>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3</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2026-07-06T04:22:31Z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